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361F" w14:textId="4889AE40" w:rsidR="00565E6C" w:rsidRPr="00565E6C" w:rsidRDefault="003D0680" w:rsidP="00565E6C">
      <w:pPr>
        <w:jc w:val="center"/>
      </w:pPr>
      <w:r>
        <w:t>La scaletta/outline di 1 Pietro</w:t>
      </w:r>
    </w:p>
    <w:p w14:paraId="3BC1AADA" w14:textId="77777777" w:rsidR="00565E6C" w:rsidRPr="00565E6C" w:rsidRDefault="00565E6C"/>
    <w:p w14:paraId="2C9D7B5E" w14:textId="77777777" w:rsidR="000E441F" w:rsidRDefault="000E441F">
      <w:pPr>
        <w:rPr>
          <w:lang w:val="en-US"/>
        </w:rPr>
      </w:pPr>
      <w:r>
        <w:rPr>
          <w:lang w:val="en-US"/>
        </w:rPr>
        <w:t xml:space="preserve">Thomas R. </w:t>
      </w:r>
      <w:r w:rsidR="000B63F0" w:rsidRPr="00D121DF">
        <w:rPr>
          <w:lang w:val="en-US"/>
        </w:rPr>
        <w:t>Schreiner</w:t>
      </w:r>
      <w:r>
        <w:rPr>
          <w:lang w:val="en-US"/>
        </w:rPr>
        <w:t xml:space="preserve">, </w:t>
      </w:r>
      <w:r w:rsidRPr="000E441F">
        <w:rPr>
          <w:i/>
          <w:lang w:val="en-US"/>
        </w:rPr>
        <w:t>1, 2 Peter, Jude</w:t>
      </w:r>
      <w:r>
        <w:rPr>
          <w:lang w:val="en-US"/>
        </w:rPr>
        <w:t xml:space="preserve"> (</w:t>
      </w:r>
      <w:r w:rsidRPr="000E441F">
        <w:rPr>
          <w:lang w:val="en-US"/>
        </w:rPr>
        <w:t>The New American Commentary</w:t>
      </w:r>
      <w:r>
        <w:rPr>
          <w:lang w:val="en-US"/>
        </w:rPr>
        <w:t>), B &amp; H, Nashville 2003.</w:t>
      </w:r>
    </w:p>
    <w:p w14:paraId="135D3B01" w14:textId="77777777" w:rsidR="000E441F" w:rsidRDefault="000E441F">
      <w:pPr>
        <w:rPr>
          <w:lang w:val="en-US"/>
        </w:rPr>
      </w:pPr>
    </w:p>
    <w:p w14:paraId="5A5049A8" w14:textId="5FD89633" w:rsidR="000B63F0" w:rsidRPr="000E441F" w:rsidRDefault="000E441F">
      <w:r w:rsidRPr="000E441F">
        <w:t>Questi</w:t>
      </w:r>
      <w:r w:rsidR="00AA5464">
        <w:t xml:space="preserve"> sono dei</w:t>
      </w:r>
      <w:r w:rsidRPr="000E441F">
        <w:t xml:space="preserve"> commenti iniziali sulla </w:t>
      </w:r>
      <w:r w:rsidRPr="00DA05B2">
        <w:rPr>
          <w:b/>
        </w:rPr>
        <w:t>struttura</w:t>
      </w:r>
      <w:r w:rsidRPr="000E441F">
        <w:t xml:space="preserve"> di 1 Pietro (</w:t>
      </w:r>
      <w:r w:rsidR="000B63F0" w:rsidRPr="000E441F">
        <w:t>46-47</w:t>
      </w:r>
      <w:r>
        <w:t>; e28-29</w:t>
      </w:r>
      <w:r w:rsidR="000B63F0" w:rsidRPr="000E441F">
        <w:t>)</w:t>
      </w:r>
      <w:r>
        <w:t>.</w:t>
      </w:r>
    </w:p>
    <w:p w14:paraId="66C560D6" w14:textId="745BD0E0" w:rsidR="000E441F" w:rsidRDefault="000B63F0">
      <w:pPr>
        <w:rPr>
          <w:lang w:val="en-US"/>
        </w:rPr>
      </w:pPr>
      <w:r w:rsidRPr="00D121DF">
        <w:rPr>
          <w:lang w:val="en-US"/>
        </w:rPr>
        <w:t>“</w:t>
      </w:r>
      <w:r w:rsidR="00C7380A" w:rsidRPr="00D121DF">
        <w:rPr>
          <w:lang w:val="en-US"/>
        </w:rPr>
        <w:t>6. Structure</w:t>
      </w:r>
      <w:r w:rsidR="000E441F">
        <w:rPr>
          <w:lang w:val="en-US"/>
        </w:rPr>
        <w:t xml:space="preserve">. </w:t>
      </w:r>
      <w:r w:rsidR="00C7380A" w:rsidRPr="00D121DF">
        <w:rPr>
          <w:lang w:val="en-US"/>
        </w:rPr>
        <w:t xml:space="preserve">The outline proposed below is not novel. Peter has the conventional opening (1:1–2) and then begins the next major section (1:3–2:10) with a blessing (1:3). The two </w:t>
      </w:r>
      <w:r w:rsidR="00263031" w:rsidRPr="00D121DF">
        <w:rPr>
          <w:lang w:val="en-US"/>
        </w:rPr>
        <w:t>succeeding sections are marked by “dear friends” (agapētoi, 2:11; 4:12), and as noted earlier the segment from 2:11–4:11 concludes with a doxology and “amen.” The fourth section of the letter also ends with a doxology and “amen” (5:11) before the closing. In the commentary the flow of argument of the text will be explained before analyzing individual verses, and hence there is no need to extend the discussion of structure here.</w:t>
      </w:r>
      <w:r w:rsidR="00A72E0E" w:rsidRPr="00D121DF">
        <w:rPr>
          <w:lang w:val="en-US"/>
        </w:rPr>
        <w:t>”</w:t>
      </w:r>
      <w:bookmarkStart w:id="0" w:name="_GoBack"/>
      <w:bookmarkEnd w:id="0"/>
    </w:p>
    <w:p w14:paraId="61AF0683" w14:textId="11152C93" w:rsidR="00A72E0E" w:rsidRPr="003D0680" w:rsidRDefault="000E441F">
      <w:pPr>
        <w:rPr>
          <w:b/>
        </w:rPr>
      </w:pPr>
      <w:r w:rsidRPr="00540EEB">
        <w:rPr>
          <w:b/>
        </w:rPr>
        <w:t xml:space="preserve">“6. La </w:t>
      </w:r>
      <w:r w:rsidR="00DD5895" w:rsidRPr="00540EEB">
        <w:rPr>
          <w:b/>
        </w:rPr>
        <w:t>struttura</w:t>
      </w:r>
      <w:r w:rsidR="00DA05B2" w:rsidRPr="00540EEB">
        <w:rPr>
          <w:b/>
        </w:rPr>
        <w:t>. La scaletta</w:t>
      </w:r>
      <w:r w:rsidRPr="00540EEB">
        <w:rPr>
          <w:b/>
        </w:rPr>
        <w:t xml:space="preserve"> (outline) che propongo non è originale. Pietro ha un’apertura tipica (1:1-2) e poi inizia la successiva sezione principale (1:3-2-10) con una benedizione (1:3). Le due sezioni successive sono </w:t>
      </w:r>
      <w:r w:rsidR="00DD5895" w:rsidRPr="00540EEB">
        <w:rPr>
          <w:b/>
        </w:rPr>
        <w:t>segnalate</w:t>
      </w:r>
      <w:r w:rsidRPr="00540EEB">
        <w:rPr>
          <w:b/>
        </w:rPr>
        <w:t xml:space="preserve"> da ‘carissimi’ (agapētoi, 2:11; 4:12), e…il blocco da 2:11-4:11 conclude con una dossologia a ‘amen.’ Anche la quarta sezione della lettera termina </w:t>
      </w:r>
      <w:r w:rsidR="00DD5895" w:rsidRPr="00540EEB">
        <w:rPr>
          <w:b/>
        </w:rPr>
        <w:t>con una dossologia e ‘amen’ (5:11) prima della chiusura della lettera.”</w:t>
      </w:r>
    </w:p>
    <w:p w14:paraId="4DA0DB42" w14:textId="77777777" w:rsidR="00DA05B2" w:rsidRDefault="00DA05B2"/>
    <w:tbl>
      <w:tblPr>
        <w:tblStyle w:val="Grigliatabella"/>
        <w:tblW w:w="0" w:type="auto"/>
        <w:tblLook w:val="04A0" w:firstRow="1" w:lastRow="0" w:firstColumn="1" w:lastColumn="0" w:noHBand="0" w:noVBand="1"/>
      </w:tblPr>
      <w:tblGrid>
        <w:gridCol w:w="1026"/>
        <w:gridCol w:w="8602"/>
      </w:tblGrid>
      <w:tr w:rsidR="00DA05B2" w14:paraId="20CDB353" w14:textId="77777777" w:rsidTr="00DA05B2">
        <w:tc>
          <w:tcPr>
            <w:tcW w:w="1026" w:type="dxa"/>
          </w:tcPr>
          <w:p w14:paraId="320EF828" w14:textId="6328BB77" w:rsidR="00DA05B2" w:rsidRDefault="00DA05B2">
            <w:r>
              <w:t>carissimi</w:t>
            </w:r>
          </w:p>
        </w:tc>
        <w:tc>
          <w:tcPr>
            <w:tcW w:w="8602" w:type="dxa"/>
          </w:tcPr>
          <w:p w14:paraId="0352F6AB" w14:textId="3C4028B4" w:rsidR="00DA05B2" w:rsidRDefault="00DA05B2">
            <w:r>
              <w:t>una dossologia seguita da amen</w:t>
            </w:r>
          </w:p>
        </w:tc>
      </w:tr>
      <w:tr w:rsidR="00DA05B2" w14:paraId="0959E88D" w14:textId="77777777" w:rsidTr="00DA05B2">
        <w:tc>
          <w:tcPr>
            <w:tcW w:w="1026" w:type="dxa"/>
          </w:tcPr>
          <w:p w14:paraId="0E652949" w14:textId="75DFA2B5" w:rsidR="00DA05B2" w:rsidRDefault="00DA05B2">
            <w:r>
              <w:t>2:11</w:t>
            </w:r>
          </w:p>
        </w:tc>
        <w:tc>
          <w:tcPr>
            <w:tcW w:w="8602" w:type="dxa"/>
          </w:tcPr>
          <w:p w14:paraId="59ED8D7D" w14:textId="189B8B93" w:rsidR="00DA05B2" w:rsidRDefault="00DA05B2">
            <w:r>
              <w:t>4:11 …</w:t>
            </w:r>
            <w:r w:rsidRPr="00DA05B2">
              <w:t>affinché in ogni cosa sia glorificato Dio per mezzo di Gesù Cristo, al quale appartengono la gloria e la potenza nei secoli dei secoli. Amen.</w:t>
            </w:r>
          </w:p>
        </w:tc>
      </w:tr>
      <w:tr w:rsidR="00DA05B2" w14:paraId="32723A06" w14:textId="77777777" w:rsidTr="00DA05B2">
        <w:tc>
          <w:tcPr>
            <w:tcW w:w="1026" w:type="dxa"/>
          </w:tcPr>
          <w:p w14:paraId="593B3187" w14:textId="1F71F0AB" w:rsidR="00DA05B2" w:rsidRDefault="00DA05B2">
            <w:r>
              <w:t>4:12</w:t>
            </w:r>
          </w:p>
        </w:tc>
        <w:tc>
          <w:tcPr>
            <w:tcW w:w="8602" w:type="dxa"/>
          </w:tcPr>
          <w:p w14:paraId="4EE7ECBF" w14:textId="2785349D" w:rsidR="00DA05B2" w:rsidRDefault="00DA05B2">
            <w:r>
              <w:t xml:space="preserve">5:11 </w:t>
            </w:r>
            <w:r w:rsidRPr="00DA05B2">
              <w:t>A lui sia la potenza, nei secoli dei secoli. Amen.</w:t>
            </w:r>
          </w:p>
        </w:tc>
      </w:tr>
    </w:tbl>
    <w:p w14:paraId="59DFFEF3" w14:textId="77777777" w:rsidR="00DA05B2" w:rsidRPr="000E441F" w:rsidRDefault="00DA05B2"/>
    <w:p w14:paraId="694C8B58" w14:textId="2D8DECFB" w:rsidR="000B63F0" w:rsidRPr="000E441F" w:rsidRDefault="00AA5464">
      <w:r>
        <w:t xml:space="preserve">Qui ora è la </w:t>
      </w:r>
      <w:r w:rsidRPr="00DA05B2">
        <w:rPr>
          <w:b/>
        </w:rPr>
        <w:t>scaletta/outline</w:t>
      </w:r>
      <w:r w:rsidRPr="000E441F">
        <w:t xml:space="preserve"> </w:t>
      </w:r>
      <w:r>
        <w:t xml:space="preserve">di </w:t>
      </w:r>
      <w:r w:rsidR="007C077B" w:rsidRPr="000E441F">
        <w:t>Schreiner</w:t>
      </w:r>
      <w:r>
        <w:t xml:space="preserve"> (48; e30)</w:t>
      </w:r>
      <w:r w:rsidR="00DA05B2">
        <w:t xml:space="preserve"> </w:t>
      </w:r>
    </w:p>
    <w:p w14:paraId="388A8CA1" w14:textId="77777777" w:rsidR="007C077B" w:rsidRPr="000E441F" w:rsidRDefault="007C077B"/>
    <w:p w14:paraId="6A8BAFE5" w14:textId="5C940D8E" w:rsidR="006E0464" w:rsidRPr="00AA5464" w:rsidRDefault="00C44E2A" w:rsidP="00433484">
      <w:pPr>
        <w:jc w:val="center"/>
      </w:pPr>
      <w:r w:rsidRPr="000E441F">
        <w:t>OUTL</w:t>
      </w:r>
      <w:r w:rsidRPr="00AA5464">
        <w:t>INE OF 1 PETER</w:t>
      </w:r>
    </w:p>
    <w:p w14:paraId="0BE7D5DC" w14:textId="1789C2FF" w:rsidR="006E0464" w:rsidRPr="00AA5464" w:rsidRDefault="006E0464" w:rsidP="00433484">
      <w:pPr>
        <w:jc w:val="center"/>
        <w:rPr>
          <w:b/>
        </w:rPr>
      </w:pPr>
      <w:r w:rsidRPr="00AA5464">
        <w:rPr>
          <w:b/>
        </w:rPr>
        <w:t>La scaletta di 1 Pietro</w:t>
      </w:r>
    </w:p>
    <w:p w14:paraId="363A698E" w14:textId="36D8D64E" w:rsidR="00713F86" w:rsidRPr="00433484" w:rsidRDefault="00C44E2A" w:rsidP="00C44E2A">
      <w:r w:rsidRPr="00433484">
        <w:t>I. Opening (1:1–2)</w:t>
      </w:r>
    </w:p>
    <w:p w14:paraId="4C7379B6" w14:textId="77777777" w:rsidR="00713F86" w:rsidRPr="00835D4C" w:rsidRDefault="00713F86" w:rsidP="00713F86">
      <w:pPr>
        <w:rPr>
          <w:b/>
          <w:lang w:val="en-US"/>
        </w:rPr>
      </w:pPr>
      <w:r w:rsidRPr="00835D4C">
        <w:rPr>
          <w:b/>
          <w:lang w:val="en-US"/>
        </w:rPr>
        <w:t>I. Apertura (1:1-2)</w:t>
      </w:r>
    </w:p>
    <w:p w14:paraId="52060826" w14:textId="77777777" w:rsidR="00713F86" w:rsidRPr="00835D4C" w:rsidRDefault="00713F86" w:rsidP="00C44E2A">
      <w:pPr>
        <w:rPr>
          <w:lang w:val="en-US"/>
        </w:rPr>
      </w:pPr>
    </w:p>
    <w:p w14:paraId="4A9499FC" w14:textId="77777777" w:rsidR="00C44E2A" w:rsidRPr="00D121DF" w:rsidRDefault="00C44E2A" w:rsidP="00C44E2A">
      <w:pPr>
        <w:rPr>
          <w:lang w:val="en-US"/>
        </w:rPr>
      </w:pPr>
      <w:r w:rsidRPr="00D121DF">
        <w:rPr>
          <w:lang w:val="en-US"/>
        </w:rPr>
        <w:t>II. Called to Salvation as Exiles (1:3–2:10)</w:t>
      </w:r>
    </w:p>
    <w:p w14:paraId="41E43083" w14:textId="77777777" w:rsidR="00C44E2A" w:rsidRPr="00D121DF" w:rsidRDefault="00C44E2A" w:rsidP="00C44E2A">
      <w:pPr>
        <w:rPr>
          <w:lang w:val="en-US"/>
        </w:rPr>
      </w:pPr>
      <w:r w:rsidRPr="00D121DF">
        <w:rPr>
          <w:lang w:val="en-US"/>
        </w:rPr>
        <w:t>1. Praise for Salvation (1:3–12)</w:t>
      </w:r>
    </w:p>
    <w:p w14:paraId="6A25F4DE" w14:textId="77777777" w:rsidR="00C44E2A" w:rsidRPr="00D121DF" w:rsidRDefault="00C44E2A" w:rsidP="00C44E2A">
      <w:pPr>
        <w:rPr>
          <w:lang w:val="en-US"/>
        </w:rPr>
      </w:pPr>
      <w:r w:rsidRPr="00D121DF">
        <w:rPr>
          <w:lang w:val="en-US"/>
        </w:rPr>
        <w:t>(1) A Promised Inheritance (1:3–5)</w:t>
      </w:r>
    </w:p>
    <w:p w14:paraId="4D2FDC56" w14:textId="77777777" w:rsidR="00C44E2A" w:rsidRPr="00D121DF" w:rsidRDefault="00C44E2A" w:rsidP="00C44E2A">
      <w:pPr>
        <w:rPr>
          <w:lang w:val="en-US"/>
        </w:rPr>
      </w:pPr>
      <w:r w:rsidRPr="00D121DF">
        <w:rPr>
          <w:lang w:val="en-US"/>
        </w:rPr>
        <w:t>(2) Result: Joy in Suffering (1:6–9)</w:t>
      </w:r>
    </w:p>
    <w:p w14:paraId="4024BA77" w14:textId="77777777" w:rsidR="00C44E2A" w:rsidRDefault="00C44E2A" w:rsidP="00C44E2A">
      <w:pPr>
        <w:rPr>
          <w:lang w:val="en-US"/>
        </w:rPr>
      </w:pPr>
      <w:r w:rsidRPr="00D121DF">
        <w:rPr>
          <w:lang w:val="en-US"/>
        </w:rPr>
        <w:t>(3) The Privilege of Revelation (1:10–12)</w:t>
      </w:r>
    </w:p>
    <w:p w14:paraId="49A4C737" w14:textId="77777777" w:rsidR="00713F86" w:rsidRDefault="00713F86" w:rsidP="00713F86">
      <w:pPr>
        <w:rPr>
          <w:lang w:val="en-US"/>
        </w:rPr>
      </w:pPr>
      <w:r w:rsidRPr="00D121DF">
        <w:rPr>
          <w:lang w:val="en-US"/>
        </w:rPr>
        <w:t>2. The Future Inheritance as an Incentive to Holin</w:t>
      </w:r>
      <w:r>
        <w:rPr>
          <w:lang w:val="en-US"/>
        </w:rPr>
        <w:t>ess (1:13–21)</w:t>
      </w:r>
    </w:p>
    <w:p w14:paraId="517B5675" w14:textId="77777777" w:rsidR="00713F86" w:rsidRPr="00D121DF" w:rsidRDefault="00713F86" w:rsidP="00713F86">
      <w:pPr>
        <w:rPr>
          <w:lang w:val="en-US"/>
        </w:rPr>
      </w:pPr>
      <w:r w:rsidRPr="00D121DF">
        <w:rPr>
          <w:lang w:val="en-US"/>
        </w:rPr>
        <w:t>(1) Setting One’s Hope on the Inheritance (1:13–16)</w:t>
      </w:r>
    </w:p>
    <w:p w14:paraId="03B0994E" w14:textId="77777777" w:rsidR="00713F86" w:rsidRPr="00D121DF" w:rsidRDefault="00713F86" w:rsidP="00713F86">
      <w:pPr>
        <w:rPr>
          <w:lang w:val="en-US"/>
        </w:rPr>
      </w:pPr>
      <w:r w:rsidRPr="00D121DF">
        <w:rPr>
          <w:lang w:val="en-US"/>
        </w:rPr>
        <w:t>(2) A Call to Fear (1:17–21)</w:t>
      </w:r>
    </w:p>
    <w:p w14:paraId="28F5EDCD" w14:textId="77777777" w:rsidR="00713F86" w:rsidRDefault="00713F86" w:rsidP="00713F86">
      <w:pPr>
        <w:rPr>
          <w:lang w:val="en-US"/>
        </w:rPr>
      </w:pPr>
      <w:r w:rsidRPr="00D121DF">
        <w:rPr>
          <w:lang w:val="en-US"/>
        </w:rPr>
        <w:t>3. Living as th</w:t>
      </w:r>
      <w:r>
        <w:rPr>
          <w:lang w:val="en-US"/>
        </w:rPr>
        <w:t>e New People of God (1:22–2:10)</w:t>
      </w:r>
    </w:p>
    <w:p w14:paraId="7DB0883E" w14:textId="77777777" w:rsidR="00713F86" w:rsidRPr="00D121DF" w:rsidRDefault="00713F86" w:rsidP="00713F86">
      <w:pPr>
        <w:rPr>
          <w:lang w:val="en-US"/>
        </w:rPr>
      </w:pPr>
      <w:r w:rsidRPr="00D121DF">
        <w:rPr>
          <w:lang w:val="en-US"/>
        </w:rPr>
        <w:t>(1) A Call to Love (1:22–25)</w:t>
      </w:r>
    </w:p>
    <w:p w14:paraId="7867AA41" w14:textId="77777777" w:rsidR="00713F86" w:rsidRPr="00D121DF" w:rsidRDefault="00713F86" w:rsidP="00713F86">
      <w:pPr>
        <w:rPr>
          <w:lang w:val="en-US"/>
        </w:rPr>
      </w:pPr>
      <w:r w:rsidRPr="00D121DF">
        <w:rPr>
          <w:lang w:val="en-US"/>
        </w:rPr>
        <w:t>(2) Longing for the Pure Milk (2:1–3)</w:t>
      </w:r>
    </w:p>
    <w:p w14:paraId="25C7C7BD" w14:textId="6E7A7FD8" w:rsidR="00DA05B2" w:rsidRDefault="00713F86" w:rsidP="00C44E2A">
      <w:pPr>
        <w:rPr>
          <w:lang w:val="en-US"/>
        </w:rPr>
      </w:pPr>
      <w:r w:rsidRPr="00D121DF">
        <w:rPr>
          <w:lang w:val="en-US"/>
        </w:rPr>
        <w:t>(3) The Living Stone and Living Stones (2:4–10)</w:t>
      </w:r>
    </w:p>
    <w:p w14:paraId="0D354AAC" w14:textId="76D5C2A0" w:rsidR="00DA05B2" w:rsidRPr="00FA6892" w:rsidRDefault="00FA6892" w:rsidP="00C44E2A">
      <w:pPr>
        <w:rPr>
          <w:b/>
        </w:rPr>
      </w:pPr>
      <w:r w:rsidRPr="00FA6892">
        <w:rPr>
          <w:b/>
        </w:rPr>
        <w:t>II. Chiamati alla salvezza come forestieri (1:3-2:10)</w:t>
      </w:r>
    </w:p>
    <w:p w14:paraId="682F3A20" w14:textId="22EA585B" w:rsidR="00FA6892" w:rsidRPr="00FA6892" w:rsidRDefault="00FA6892" w:rsidP="00C44E2A">
      <w:pPr>
        <w:rPr>
          <w:b/>
        </w:rPr>
      </w:pPr>
      <w:r w:rsidRPr="00FA6892">
        <w:rPr>
          <w:b/>
        </w:rPr>
        <w:t>1. La lode per la salvezza (1:3-12)</w:t>
      </w:r>
    </w:p>
    <w:p w14:paraId="4FD91617" w14:textId="4DE5C5C0" w:rsidR="00FA6892" w:rsidRPr="00FA6892" w:rsidRDefault="00FA6892" w:rsidP="00C44E2A">
      <w:pPr>
        <w:rPr>
          <w:b/>
        </w:rPr>
      </w:pPr>
      <w:r w:rsidRPr="00FA6892">
        <w:rPr>
          <w:b/>
        </w:rPr>
        <w:t>(1) Un’eredità promessa (1:3-5)</w:t>
      </w:r>
    </w:p>
    <w:p w14:paraId="48B7CAA4" w14:textId="35727689" w:rsidR="00FA6892" w:rsidRPr="00FA6892" w:rsidRDefault="00FA6892" w:rsidP="00C44E2A">
      <w:pPr>
        <w:rPr>
          <w:b/>
        </w:rPr>
      </w:pPr>
      <w:r w:rsidRPr="00FA6892">
        <w:rPr>
          <w:b/>
        </w:rPr>
        <w:t>(2) Il risultato: la gioia nella sofferenza (1:6-9)</w:t>
      </w:r>
    </w:p>
    <w:p w14:paraId="6FC00AFD" w14:textId="6D14506D" w:rsidR="00FA6892" w:rsidRDefault="00FA6892" w:rsidP="00C44E2A">
      <w:pPr>
        <w:rPr>
          <w:b/>
        </w:rPr>
      </w:pPr>
      <w:r w:rsidRPr="00FA6892">
        <w:rPr>
          <w:b/>
        </w:rPr>
        <w:t>(3) Il privilegio di avere la rivelazione divina (1:10-12)</w:t>
      </w:r>
    </w:p>
    <w:p w14:paraId="79F04C0B" w14:textId="78DD1E19" w:rsidR="00713F86" w:rsidRDefault="00713F86" w:rsidP="00C44E2A">
      <w:pPr>
        <w:rPr>
          <w:b/>
        </w:rPr>
      </w:pPr>
      <w:r>
        <w:rPr>
          <w:b/>
        </w:rPr>
        <w:t>2. L’eredità futura come incentivo alla santità (1:13-21)</w:t>
      </w:r>
    </w:p>
    <w:p w14:paraId="75592B40" w14:textId="2291EF58" w:rsidR="00713F86" w:rsidRDefault="00713F86" w:rsidP="00C44E2A">
      <w:pPr>
        <w:rPr>
          <w:b/>
        </w:rPr>
      </w:pPr>
      <w:r>
        <w:rPr>
          <w:b/>
        </w:rPr>
        <w:t>(1) Mettere la propria speranza sull’eredità (1:13-16)</w:t>
      </w:r>
    </w:p>
    <w:p w14:paraId="53BD5C7C" w14:textId="07826165" w:rsidR="00713F86" w:rsidRPr="00BC4354" w:rsidRDefault="00713F86" w:rsidP="00C44E2A">
      <w:pPr>
        <w:rPr>
          <w:b/>
        </w:rPr>
      </w:pPr>
      <w:r w:rsidRPr="00BC4354">
        <w:rPr>
          <w:b/>
        </w:rPr>
        <w:t>(2) Un appello a temere (1:17-21)</w:t>
      </w:r>
    </w:p>
    <w:p w14:paraId="0066EC42" w14:textId="040C6E2D" w:rsidR="00713F86" w:rsidRPr="00713F86" w:rsidRDefault="00713F86" w:rsidP="00C44E2A">
      <w:pPr>
        <w:rPr>
          <w:b/>
        </w:rPr>
      </w:pPr>
      <w:r w:rsidRPr="00713F86">
        <w:rPr>
          <w:b/>
        </w:rPr>
        <w:t>3. Vivere come il Nuovo Popolo di Dio (1:22-2:10)</w:t>
      </w:r>
    </w:p>
    <w:p w14:paraId="31B190CA" w14:textId="6B1DEAE6" w:rsidR="00713F86" w:rsidRDefault="00713F86" w:rsidP="00C44E2A">
      <w:pPr>
        <w:rPr>
          <w:b/>
        </w:rPr>
      </w:pPr>
      <w:r>
        <w:rPr>
          <w:b/>
        </w:rPr>
        <w:t>(1) Un appello ad amare (1:22-25)</w:t>
      </w:r>
    </w:p>
    <w:p w14:paraId="2E902666" w14:textId="4909AA92" w:rsidR="00713F86" w:rsidRDefault="00713F86" w:rsidP="00C44E2A">
      <w:pPr>
        <w:rPr>
          <w:b/>
        </w:rPr>
      </w:pPr>
      <w:r>
        <w:rPr>
          <w:b/>
        </w:rPr>
        <w:t>(2) Desiderare il latte puro (2:1-3)</w:t>
      </w:r>
    </w:p>
    <w:p w14:paraId="12E187AC" w14:textId="3A8C46CA" w:rsidR="00713F86" w:rsidRPr="00713F86" w:rsidRDefault="00713F86" w:rsidP="00C44E2A">
      <w:pPr>
        <w:rPr>
          <w:b/>
        </w:rPr>
      </w:pPr>
      <w:r>
        <w:rPr>
          <w:b/>
        </w:rPr>
        <w:t>(3) La Pietro Vivente e le pietre viventi (2:4-10)</w:t>
      </w:r>
    </w:p>
    <w:p w14:paraId="7C4656D4" w14:textId="77777777" w:rsidR="00DA05B2" w:rsidRPr="00713F86" w:rsidRDefault="00DA05B2" w:rsidP="00C44E2A"/>
    <w:p w14:paraId="577FBF21" w14:textId="77777777" w:rsidR="00C44E2A" w:rsidRPr="00D121DF" w:rsidRDefault="00C44E2A" w:rsidP="00C44E2A">
      <w:pPr>
        <w:rPr>
          <w:lang w:val="en-US"/>
        </w:rPr>
      </w:pPr>
      <w:r w:rsidRPr="00D121DF">
        <w:rPr>
          <w:lang w:val="en-US"/>
        </w:rPr>
        <w:t>III. Living as Aliens to Bring Glory to God in a Hostile World (2:11–4:11)</w:t>
      </w:r>
    </w:p>
    <w:p w14:paraId="5AD43D4A" w14:textId="77777777" w:rsidR="00C44E2A" w:rsidRPr="00D121DF" w:rsidRDefault="00C44E2A" w:rsidP="00C44E2A">
      <w:pPr>
        <w:rPr>
          <w:lang w:val="en-US"/>
        </w:rPr>
      </w:pPr>
      <w:r w:rsidRPr="00D121DF">
        <w:rPr>
          <w:lang w:val="en-US"/>
        </w:rPr>
        <w:t>1. The Christian Life as a Battle and Witness (2:11–12)</w:t>
      </w:r>
    </w:p>
    <w:p w14:paraId="1B4013BB" w14:textId="77777777" w:rsidR="00C44E2A" w:rsidRPr="00D121DF" w:rsidRDefault="00C44E2A" w:rsidP="00C44E2A">
      <w:pPr>
        <w:rPr>
          <w:lang w:val="en-US"/>
        </w:rPr>
      </w:pPr>
      <w:r w:rsidRPr="00D121DF">
        <w:rPr>
          <w:lang w:val="en-US"/>
        </w:rPr>
        <w:t>2. Testifying to the Gospel in the Social Order (2:13–3:12)</w:t>
      </w:r>
    </w:p>
    <w:p w14:paraId="0441AA3B" w14:textId="77777777" w:rsidR="00C44E2A" w:rsidRPr="00D121DF" w:rsidRDefault="00C44E2A" w:rsidP="00C44E2A">
      <w:pPr>
        <w:rPr>
          <w:lang w:val="en-US"/>
        </w:rPr>
      </w:pPr>
      <w:r w:rsidRPr="00D121DF">
        <w:rPr>
          <w:lang w:val="en-US"/>
        </w:rPr>
        <w:t>(1) Submit to the Government (2:13–17)</w:t>
      </w:r>
    </w:p>
    <w:p w14:paraId="662C3CDF" w14:textId="77777777" w:rsidR="00C44E2A" w:rsidRPr="00D121DF" w:rsidRDefault="00C44E2A" w:rsidP="00C44E2A">
      <w:pPr>
        <w:rPr>
          <w:lang w:val="en-US"/>
        </w:rPr>
      </w:pPr>
      <w:r w:rsidRPr="00D121DF">
        <w:rPr>
          <w:lang w:val="en-US"/>
        </w:rPr>
        <w:t>(2) Slaves, Submit to Masters (2:18–25)</w:t>
      </w:r>
    </w:p>
    <w:p w14:paraId="4A2833FE" w14:textId="77777777" w:rsidR="00C44E2A" w:rsidRPr="00D121DF" w:rsidRDefault="00C44E2A" w:rsidP="00C44E2A">
      <w:pPr>
        <w:rPr>
          <w:lang w:val="en-US"/>
        </w:rPr>
      </w:pPr>
      <w:r w:rsidRPr="00D121DF">
        <w:rPr>
          <w:lang w:val="en-US"/>
        </w:rPr>
        <w:t>To Receive a Reward (2:18–20)</w:t>
      </w:r>
    </w:p>
    <w:p w14:paraId="035F7038" w14:textId="77777777" w:rsidR="00C44E2A" w:rsidRPr="00D121DF" w:rsidRDefault="00C44E2A" w:rsidP="00C44E2A">
      <w:pPr>
        <w:rPr>
          <w:lang w:val="en-US"/>
        </w:rPr>
      </w:pPr>
      <w:r w:rsidRPr="00D121DF">
        <w:rPr>
          <w:lang w:val="en-US"/>
        </w:rPr>
        <w:t>To Imitate Christ (2:21–25)</w:t>
      </w:r>
    </w:p>
    <w:p w14:paraId="7F60B8C1" w14:textId="77777777" w:rsidR="00C44E2A" w:rsidRPr="00D121DF" w:rsidRDefault="00C44E2A" w:rsidP="00C44E2A">
      <w:pPr>
        <w:rPr>
          <w:lang w:val="en-US"/>
        </w:rPr>
      </w:pPr>
      <w:r w:rsidRPr="00D121DF">
        <w:rPr>
          <w:lang w:val="en-US"/>
        </w:rPr>
        <w:t>(3) Wives, Submit to Husbands (3:1–6)</w:t>
      </w:r>
    </w:p>
    <w:p w14:paraId="3C9CCEF5" w14:textId="77777777" w:rsidR="00C44E2A" w:rsidRPr="00D121DF" w:rsidRDefault="00C44E2A" w:rsidP="00C44E2A">
      <w:pPr>
        <w:rPr>
          <w:lang w:val="en-US"/>
        </w:rPr>
      </w:pPr>
      <w:r w:rsidRPr="00D121DF">
        <w:rPr>
          <w:lang w:val="en-US"/>
        </w:rPr>
        <w:t>(4) Husbands, Live Knowledgeably with Your Wives (3:7)</w:t>
      </w:r>
    </w:p>
    <w:p w14:paraId="371D248F" w14:textId="6C209AAC" w:rsidR="00713F86" w:rsidRPr="00D121DF" w:rsidRDefault="00C44E2A" w:rsidP="00C44E2A">
      <w:pPr>
        <w:rPr>
          <w:lang w:val="en-US"/>
        </w:rPr>
      </w:pPr>
      <w:r w:rsidRPr="00D121DF">
        <w:rPr>
          <w:lang w:val="en-US"/>
        </w:rPr>
        <w:t>(5) Conclusion: Live a Godly Life (3:8–12)</w:t>
      </w:r>
    </w:p>
    <w:p w14:paraId="625B19D1" w14:textId="77777777" w:rsidR="00C44E2A" w:rsidRPr="00D121DF" w:rsidRDefault="00C44E2A" w:rsidP="00C44E2A">
      <w:pPr>
        <w:rPr>
          <w:lang w:val="en-US"/>
        </w:rPr>
      </w:pPr>
      <w:r w:rsidRPr="00D121DF">
        <w:rPr>
          <w:lang w:val="en-US"/>
        </w:rPr>
        <w:t>3. Responding in a Godly Way to Suffering (3:13–4:11)</w:t>
      </w:r>
    </w:p>
    <w:p w14:paraId="5BFA3FDD" w14:textId="77777777" w:rsidR="00C44E2A" w:rsidRPr="00D121DF" w:rsidRDefault="00C44E2A" w:rsidP="00C44E2A">
      <w:pPr>
        <w:rPr>
          <w:lang w:val="en-US"/>
        </w:rPr>
      </w:pPr>
      <w:r w:rsidRPr="00D121DF">
        <w:rPr>
          <w:lang w:val="en-US"/>
        </w:rPr>
        <w:t>(1) The Blessing of Suffering for Christ (3:13–17)</w:t>
      </w:r>
    </w:p>
    <w:p w14:paraId="56C73292" w14:textId="77777777" w:rsidR="006E0464" w:rsidRDefault="00C44E2A" w:rsidP="00C44E2A">
      <w:pPr>
        <w:rPr>
          <w:lang w:val="en-US"/>
        </w:rPr>
      </w:pPr>
      <w:r w:rsidRPr="00D121DF">
        <w:rPr>
          <w:lang w:val="en-US"/>
        </w:rPr>
        <w:t xml:space="preserve">(2) Christ’s Suffering as the </w:t>
      </w:r>
      <w:r w:rsidR="006E0464">
        <w:rPr>
          <w:lang w:val="en-US"/>
        </w:rPr>
        <w:t>Pathway to Exaltation (3:18–22)</w:t>
      </w:r>
    </w:p>
    <w:p w14:paraId="2A70F26E" w14:textId="32EBDEA9" w:rsidR="00C44E2A" w:rsidRPr="00D121DF" w:rsidRDefault="00C44E2A" w:rsidP="00C44E2A">
      <w:pPr>
        <w:rPr>
          <w:lang w:val="en-US"/>
        </w:rPr>
      </w:pPr>
      <w:r w:rsidRPr="00D121DF">
        <w:rPr>
          <w:lang w:val="en-US"/>
        </w:rPr>
        <w:t>(3) Preparing to Suffer as Christ Did (4:1–6)</w:t>
      </w:r>
    </w:p>
    <w:p w14:paraId="58042174" w14:textId="6C8760C6" w:rsidR="006E0464" w:rsidRDefault="00C44E2A" w:rsidP="00C44E2A">
      <w:pPr>
        <w:rPr>
          <w:lang w:val="en-US"/>
        </w:rPr>
      </w:pPr>
      <w:r w:rsidRPr="00D121DF">
        <w:rPr>
          <w:lang w:val="en-US"/>
        </w:rPr>
        <w:t>(4) Living in Light of the End (4:7–11)</w:t>
      </w:r>
    </w:p>
    <w:p w14:paraId="71866A8B" w14:textId="796D05D8" w:rsidR="006E0464" w:rsidRPr="00FC796D" w:rsidRDefault="006E0464" w:rsidP="006E0464">
      <w:pPr>
        <w:rPr>
          <w:b/>
        </w:rPr>
      </w:pPr>
      <w:r w:rsidRPr="00FC796D">
        <w:rPr>
          <w:b/>
        </w:rPr>
        <w:t xml:space="preserve">III. </w:t>
      </w:r>
      <w:r w:rsidR="00E90A4B" w:rsidRPr="00FC796D">
        <w:rPr>
          <w:b/>
        </w:rPr>
        <w:t>Vivere</w:t>
      </w:r>
      <w:r w:rsidR="00514134" w:rsidRPr="00FC796D">
        <w:rPr>
          <w:b/>
        </w:rPr>
        <w:t xml:space="preserve"> come forestieri per portare gloria a Dio in un mondo ostile</w:t>
      </w:r>
      <w:r w:rsidRPr="00FC796D">
        <w:rPr>
          <w:b/>
        </w:rPr>
        <w:t xml:space="preserve"> (2:11–4:11)</w:t>
      </w:r>
    </w:p>
    <w:p w14:paraId="4CB23AE6" w14:textId="6D8BDC26" w:rsidR="006E0464" w:rsidRPr="00FC796D" w:rsidRDefault="006E0464" w:rsidP="006E0464">
      <w:pPr>
        <w:rPr>
          <w:b/>
        </w:rPr>
      </w:pPr>
      <w:r w:rsidRPr="00FC796D">
        <w:rPr>
          <w:b/>
        </w:rPr>
        <w:t xml:space="preserve">1. </w:t>
      </w:r>
      <w:r w:rsidR="00514134" w:rsidRPr="00FC796D">
        <w:rPr>
          <w:b/>
        </w:rPr>
        <w:t>La vita Cristiana come battaglia e testimonianza</w:t>
      </w:r>
      <w:r w:rsidRPr="00FC796D">
        <w:rPr>
          <w:b/>
        </w:rPr>
        <w:t xml:space="preserve"> (2:11–12)</w:t>
      </w:r>
    </w:p>
    <w:p w14:paraId="6C8A72AD" w14:textId="3AF3B4A5" w:rsidR="006E0464" w:rsidRPr="00FC796D" w:rsidRDefault="006E0464" w:rsidP="006E0464">
      <w:pPr>
        <w:rPr>
          <w:b/>
        </w:rPr>
      </w:pPr>
      <w:r w:rsidRPr="00FC796D">
        <w:rPr>
          <w:b/>
        </w:rPr>
        <w:t xml:space="preserve">2. </w:t>
      </w:r>
      <w:r w:rsidR="00514134" w:rsidRPr="00FC796D">
        <w:rPr>
          <w:b/>
        </w:rPr>
        <w:t>Testimoniare il Vangelo nella società</w:t>
      </w:r>
      <w:r w:rsidRPr="00FC796D">
        <w:rPr>
          <w:b/>
        </w:rPr>
        <w:t xml:space="preserve"> (2:13–3:12)</w:t>
      </w:r>
    </w:p>
    <w:p w14:paraId="165E50FC" w14:textId="1FAA729A" w:rsidR="006E0464" w:rsidRPr="00FC796D" w:rsidRDefault="006E0464" w:rsidP="006E0464">
      <w:pPr>
        <w:rPr>
          <w:b/>
        </w:rPr>
      </w:pPr>
      <w:r w:rsidRPr="00FC796D">
        <w:rPr>
          <w:b/>
        </w:rPr>
        <w:t xml:space="preserve">(1) </w:t>
      </w:r>
      <w:r w:rsidR="00514134" w:rsidRPr="00FC796D">
        <w:rPr>
          <w:b/>
        </w:rPr>
        <w:t xml:space="preserve">Sottomettersi alle autorità </w:t>
      </w:r>
      <w:r w:rsidRPr="00FC796D">
        <w:rPr>
          <w:b/>
        </w:rPr>
        <w:t>(2:13–17)</w:t>
      </w:r>
    </w:p>
    <w:p w14:paraId="3B558A05" w14:textId="7885FF46" w:rsidR="006E0464" w:rsidRPr="00FC796D" w:rsidRDefault="006E0464" w:rsidP="006E0464">
      <w:pPr>
        <w:rPr>
          <w:b/>
        </w:rPr>
      </w:pPr>
      <w:r w:rsidRPr="00FC796D">
        <w:rPr>
          <w:b/>
        </w:rPr>
        <w:t xml:space="preserve">(2) </w:t>
      </w:r>
      <w:r w:rsidR="00514134" w:rsidRPr="00FC796D">
        <w:rPr>
          <w:b/>
        </w:rPr>
        <w:t>Domestici, siate sottomessi ai padroni</w:t>
      </w:r>
      <w:r w:rsidRPr="00FC796D">
        <w:rPr>
          <w:b/>
        </w:rPr>
        <w:t xml:space="preserve"> (2:18–25)</w:t>
      </w:r>
    </w:p>
    <w:p w14:paraId="5B9CBDAD" w14:textId="296246EF" w:rsidR="006E0464" w:rsidRPr="00FC796D" w:rsidRDefault="00514134" w:rsidP="006E0464">
      <w:pPr>
        <w:rPr>
          <w:b/>
        </w:rPr>
      </w:pPr>
      <w:r w:rsidRPr="00FC796D">
        <w:rPr>
          <w:b/>
        </w:rPr>
        <w:t>Per ricevere un premio</w:t>
      </w:r>
      <w:r w:rsidR="006E0464" w:rsidRPr="00FC796D">
        <w:rPr>
          <w:b/>
        </w:rPr>
        <w:t xml:space="preserve"> (2:18–20)</w:t>
      </w:r>
    </w:p>
    <w:p w14:paraId="27258A37" w14:textId="5E916965" w:rsidR="006E0464" w:rsidRPr="00FC796D" w:rsidRDefault="00514134" w:rsidP="006E0464">
      <w:pPr>
        <w:rPr>
          <w:b/>
        </w:rPr>
      </w:pPr>
      <w:r w:rsidRPr="00FC796D">
        <w:rPr>
          <w:b/>
        </w:rPr>
        <w:t>Per imitare Cristo</w:t>
      </w:r>
      <w:r w:rsidR="006E0464" w:rsidRPr="00FC796D">
        <w:rPr>
          <w:b/>
        </w:rPr>
        <w:t xml:space="preserve"> (2:21–25)</w:t>
      </w:r>
    </w:p>
    <w:p w14:paraId="663416D3" w14:textId="4A8473B9" w:rsidR="006E0464" w:rsidRPr="00FC796D" w:rsidRDefault="006E0464" w:rsidP="006E0464">
      <w:pPr>
        <w:rPr>
          <w:b/>
        </w:rPr>
      </w:pPr>
      <w:r w:rsidRPr="00FC796D">
        <w:rPr>
          <w:b/>
        </w:rPr>
        <w:t xml:space="preserve">(3) </w:t>
      </w:r>
      <w:r w:rsidR="00514134" w:rsidRPr="00FC796D">
        <w:rPr>
          <w:b/>
        </w:rPr>
        <w:t>Mogli, siate sottomesse ai mariti</w:t>
      </w:r>
      <w:r w:rsidRPr="00FC796D">
        <w:rPr>
          <w:b/>
        </w:rPr>
        <w:t xml:space="preserve"> (3:1–6)</w:t>
      </w:r>
    </w:p>
    <w:p w14:paraId="775C9B5A" w14:textId="701FE1C8" w:rsidR="006E0464" w:rsidRPr="00FC796D" w:rsidRDefault="006E0464" w:rsidP="006E0464">
      <w:pPr>
        <w:rPr>
          <w:b/>
        </w:rPr>
      </w:pPr>
      <w:r w:rsidRPr="00FC796D">
        <w:rPr>
          <w:b/>
        </w:rPr>
        <w:t xml:space="preserve">(4) </w:t>
      </w:r>
      <w:r w:rsidR="00514134" w:rsidRPr="00FC796D">
        <w:rPr>
          <w:b/>
        </w:rPr>
        <w:t>Mariti</w:t>
      </w:r>
      <w:r w:rsidRPr="00FC796D">
        <w:rPr>
          <w:b/>
        </w:rPr>
        <w:t>,</w:t>
      </w:r>
      <w:r w:rsidR="00514134" w:rsidRPr="00FC796D">
        <w:rPr>
          <w:b/>
        </w:rPr>
        <w:t xml:space="preserve"> viete con le vostre mogli con riguardo</w:t>
      </w:r>
      <w:r w:rsidR="00514134" w:rsidRPr="00FC796D">
        <w:rPr>
          <w:rStyle w:val="Rimandonotaapidipagina"/>
          <w:b/>
        </w:rPr>
        <w:footnoteReference w:id="1"/>
      </w:r>
      <w:r w:rsidRPr="00FC796D">
        <w:rPr>
          <w:b/>
        </w:rPr>
        <w:t xml:space="preserve"> (3:7)</w:t>
      </w:r>
    </w:p>
    <w:p w14:paraId="36C0D1D1" w14:textId="00A302F3" w:rsidR="006E0464" w:rsidRPr="00FC796D" w:rsidRDefault="006E0464" w:rsidP="006E0464">
      <w:pPr>
        <w:rPr>
          <w:b/>
        </w:rPr>
      </w:pPr>
      <w:r w:rsidRPr="00FC796D">
        <w:rPr>
          <w:b/>
        </w:rPr>
        <w:t xml:space="preserve">(5) </w:t>
      </w:r>
      <w:r w:rsidR="007B07A9" w:rsidRPr="00FC796D">
        <w:rPr>
          <w:b/>
        </w:rPr>
        <w:t>Conclusione</w:t>
      </w:r>
      <w:r w:rsidRPr="00FC796D">
        <w:rPr>
          <w:b/>
        </w:rPr>
        <w:t>:</w:t>
      </w:r>
      <w:r w:rsidR="007B07A9" w:rsidRPr="00FC796D">
        <w:rPr>
          <w:b/>
        </w:rPr>
        <w:t xml:space="preserve"> Vivere una vita consacrata a Dio</w:t>
      </w:r>
      <w:r w:rsidRPr="00FC796D">
        <w:rPr>
          <w:b/>
        </w:rPr>
        <w:t xml:space="preserve"> (3:8–12)</w:t>
      </w:r>
    </w:p>
    <w:p w14:paraId="1E3E1E29" w14:textId="44BAA3F8" w:rsidR="006E0464" w:rsidRPr="00FC796D" w:rsidRDefault="006E0464" w:rsidP="006E0464">
      <w:pPr>
        <w:rPr>
          <w:b/>
        </w:rPr>
      </w:pPr>
      <w:r w:rsidRPr="00FC796D">
        <w:rPr>
          <w:b/>
        </w:rPr>
        <w:t xml:space="preserve">3. </w:t>
      </w:r>
      <w:r w:rsidR="007B07A9" w:rsidRPr="00FC796D">
        <w:rPr>
          <w:b/>
        </w:rPr>
        <w:t>Rispondere in maniera cristiana</w:t>
      </w:r>
      <w:r w:rsidR="007B07A9" w:rsidRPr="00FC796D">
        <w:rPr>
          <w:rStyle w:val="Rimandonotaapidipagina"/>
          <w:b/>
        </w:rPr>
        <w:footnoteReference w:id="2"/>
      </w:r>
      <w:r w:rsidR="007B07A9" w:rsidRPr="00FC796D">
        <w:rPr>
          <w:b/>
        </w:rPr>
        <w:t xml:space="preserve"> alla sofferenza</w:t>
      </w:r>
      <w:r w:rsidRPr="00FC796D">
        <w:rPr>
          <w:b/>
        </w:rPr>
        <w:t xml:space="preserve"> (3:13–4:11)</w:t>
      </w:r>
    </w:p>
    <w:p w14:paraId="5017DF90" w14:textId="728DE06C" w:rsidR="006E0464" w:rsidRPr="00FC796D" w:rsidRDefault="006E0464" w:rsidP="006E0464">
      <w:pPr>
        <w:rPr>
          <w:b/>
        </w:rPr>
      </w:pPr>
      <w:r w:rsidRPr="00FC796D">
        <w:rPr>
          <w:b/>
        </w:rPr>
        <w:t xml:space="preserve">(1) </w:t>
      </w:r>
      <w:r w:rsidR="00B325E7" w:rsidRPr="00FC796D">
        <w:rPr>
          <w:b/>
        </w:rPr>
        <w:t>La benedizione quando si soffre per Cristo</w:t>
      </w:r>
      <w:r w:rsidRPr="00FC796D">
        <w:rPr>
          <w:b/>
        </w:rPr>
        <w:t xml:space="preserve"> (3:13–17)</w:t>
      </w:r>
    </w:p>
    <w:p w14:paraId="3EE87AE5" w14:textId="24F9D32C" w:rsidR="006E0464" w:rsidRPr="00FC796D" w:rsidRDefault="006E0464" w:rsidP="006E0464">
      <w:pPr>
        <w:rPr>
          <w:b/>
        </w:rPr>
      </w:pPr>
      <w:r w:rsidRPr="00FC796D">
        <w:rPr>
          <w:b/>
        </w:rPr>
        <w:t xml:space="preserve">(2) </w:t>
      </w:r>
      <w:r w:rsidR="00B325E7" w:rsidRPr="00FC796D">
        <w:rPr>
          <w:b/>
        </w:rPr>
        <w:t>La sofferenza di Cristo è la via all’innalzamento</w:t>
      </w:r>
      <w:r w:rsidRPr="00FC796D">
        <w:rPr>
          <w:b/>
        </w:rPr>
        <w:t xml:space="preserve"> (3:18–22)</w:t>
      </w:r>
    </w:p>
    <w:p w14:paraId="77BF6606" w14:textId="34B41B1A" w:rsidR="006E0464" w:rsidRPr="00FC796D" w:rsidRDefault="006E0464" w:rsidP="006E0464">
      <w:pPr>
        <w:rPr>
          <w:b/>
        </w:rPr>
      </w:pPr>
      <w:r w:rsidRPr="00FC796D">
        <w:rPr>
          <w:b/>
        </w:rPr>
        <w:t xml:space="preserve">(3) </w:t>
      </w:r>
      <w:r w:rsidR="00B325E7" w:rsidRPr="00FC796D">
        <w:rPr>
          <w:b/>
        </w:rPr>
        <w:t>Prepararsi per soffrire come Cristo ha sofferto</w:t>
      </w:r>
      <w:r w:rsidRPr="00FC796D">
        <w:rPr>
          <w:b/>
        </w:rPr>
        <w:t xml:space="preserve"> (4:1–6)</w:t>
      </w:r>
    </w:p>
    <w:p w14:paraId="04B9F549" w14:textId="18835E55" w:rsidR="006E0464" w:rsidRPr="00B325E7" w:rsidRDefault="006E0464" w:rsidP="006E0464">
      <w:pPr>
        <w:rPr>
          <w:b/>
        </w:rPr>
      </w:pPr>
      <w:r w:rsidRPr="00FC796D">
        <w:rPr>
          <w:b/>
        </w:rPr>
        <w:t xml:space="preserve">(4) </w:t>
      </w:r>
      <w:r w:rsidR="00B325E7" w:rsidRPr="00FC796D">
        <w:rPr>
          <w:b/>
        </w:rPr>
        <w:t>Vivere alla luce della fine</w:t>
      </w:r>
      <w:r w:rsidRPr="00FC796D">
        <w:rPr>
          <w:b/>
        </w:rPr>
        <w:t xml:space="preserve"> (4:7–11)</w:t>
      </w:r>
    </w:p>
    <w:p w14:paraId="31843263" w14:textId="77777777" w:rsidR="006E0464" w:rsidRPr="00B325E7" w:rsidRDefault="006E0464" w:rsidP="00C44E2A"/>
    <w:p w14:paraId="0EA1DD00" w14:textId="50AC7B70" w:rsidR="00C44E2A" w:rsidRPr="00D121DF" w:rsidRDefault="00C44E2A" w:rsidP="00C44E2A">
      <w:pPr>
        <w:rPr>
          <w:lang w:val="en-US"/>
        </w:rPr>
      </w:pPr>
      <w:r w:rsidRPr="00D121DF">
        <w:rPr>
          <w:lang w:val="en-US"/>
        </w:rPr>
        <w:t>IV. Persevering in Suffering (4:12–5:11)</w:t>
      </w:r>
    </w:p>
    <w:p w14:paraId="72A7F248" w14:textId="77777777" w:rsidR="00C44E2A" w:rsidRPr="00D121DF" w:rsidRDefault="00C44E2A" w:rsidP="00C44E2A">
      <w:pPr>
        <w:rPr>
          <w:lang w:val="en-US"/>
        </w:rPr>
      </w:pPr>
      <w:r w:rsidRPr="00D121DF">
        <w:rPr>
          <w:lang w:val="en-US"/>
        </w:rPr>
        <w:t>1. Suffer Joyfully in Accord with God’s Will (4:12–19)</w:t>
      </w:r>
    </w:p>
    <w:p w14:paraId="3006B795" w14:textId="77777777" w:rsidR="00C44E2A" w:rsidRPr="00D121DF" w:rsidRDefault="00C44E2A" w:rsidP="00C44E2A">
      <w:pPr>
        <w:rPr>
          <w:lang w:val="en-US"/>
        </w:rPr>
      </w:pPr>
      <w:r w:rsidRPr="00D121DF">
        <w:rPr>
          <w:lang w:val="en-US"/>
        </w:rPr>
        <w:t>2. Exhortations to Elders and the Community (5:1–11)</w:t>
      </w:r>
    </w:p>
    <w:p w14:paraId="0CBD99B0" w14:textId="77777777" w:rsidR="00C44E2A" w:rsidRPr="00D121DF" w:rsidRDefault="00C44E2A" w:rsidP="00C44E2A">
      <w:pPr>
        <w:rPr>
          <w:lang w:val="en-US"/>
        </w:rPr>
      </w:pPr>
      <w:r w:rsidRPr="00D121DF">
        <w:rPr>
          <w:lang w:val="en-US"/>
        </w:rPr>
        <w:t>(1) Exhortations for Elders and Younger Ones (5:1–5)</w:t>
      </w:r>
    </w:p>
    <w:p w14:paraId="06CBABE6" w14:textId="20988DEF" w:rsidR="00BC4354" w:rsidRDefault="00C44E2A" w:rsidP="00C44E2A">
      <w:pPr>
        <w:rPr>
          <w:lang w:val="en-US"/>
        </w:rPr>
      </w:pPr>
      <w:r w:rsidRPr="00D121DF">
        <w:rPr>
          <w:lang w:val="en-US"/>
        </w:rPr>
        <w:t>(2) Closing Exhortations and Assurance (5:6–11)</w:t>
      </w:r>
    </w:p>
    <w:p w14:paraId="5E8CD989" w14:textId="05CBB554" w:rsidR="00BC4354" w:rsidRPr="00767476" w:rsidRDefault="00BC4354" w:rsidP="00BC4354">
      <w:pPr>
        <w:rPr>
          <w:b/>
          <w:lang w:val="en-US"/>
        </w:rPr>
      </w:pPr>
      <w:r w:rsidRPr="00767476">
        <w:rPr>
          <w:b/>
          <w:lang w:val="en-US"/>
        </w:rPr>
        <w:t xml:space="preserve">IV. </w:t>
      </w:r>
      <w:r w:rsidRPr="00835D4C">
        <w:rPr>
          <w:b/>
          <w:lang w:val="en-US"/>
        </w:rPr>
        <w:t>Perseverare nella sofferenza</w:t>
      </w:r>
      <w:r w:rsidRPr="00767476">
        <w:rPr>
          <w:b/>
          <w:lang w:val="en-US"/>
        </w:rPr>
        <w:t xml:space="preserve"> (4:12–5:11)</w:t>
      </w:r>
    </w:p>
    <w:p w14:paraId="5C82381B" w14:textId="4DF5F39B" w:rsidR="00BC4354" w:rsidRPr="00905A3A" w:rsidRDefault="00BC4354" w:rsidP="00BC4354">
      <w:pPr>
        <w:rPr>
          <w:b/>
        </w:rPr>
      </w:pPr>
      <w:r w:rsidRPr="00905A3A">
        <w:rPr>
          <w:b/>
        </w:rPr>
        <w:t xml:space="preserve">1. </w:t>
      </w:r>
      <w:r w:rsidR="00EB709C" w:rsidRPr="00905A3A">
        <w:rPr>
          <w:b/>
        </w:rPr>
        <w:t>Soffrire con gioia secondo la volontà di Dio</w:t>
      </w:r>
      <w:r w:rsidRPr="00905A3A">
        <w:rPr>
          <w:b/>
        </w:rPr>
        <w:t xml:space="preserve"> (4:12–19)</w:t>
      </w:r>
    </w:p>
    <w:p w14:paraId="0AAF4DC3" w14:textId="09FD5037" w:rsidR="00BC4354" w:rsidRPr="00905A3A" w:rsidRDefault="00BC4354" w:rsidP="00BC4354">
      <w:pPr>
        <w:rPr>
          <w:b/>
        </w:rPr>
      </w:pPr>
      <w:r w:rsidRPr="00905A3A">
        <w:rPr>
          <w:b/>
        </w:rPr>
        <w:t xml:space="preserve">2. </w:t>
      </w:r>
      <w:r w:rsidR="00EB709C" w:rsidRPr="00905A3A">
        <w:rPr>
          <w:b/>
        </w:rPr>
        <w:t>Esortazioni agli anziani/responsabili della comunità</w:t>
      </w:r>
      <w:r w:rsidRPr="00905A3A">
        <w:rPr>
          <w:b/>
        </w:rPr>
        <w:t xml:space="preserve"> (5:1–11)</w:t>
      </w:r>
    </w:p>
    <w:p w14:paraId="0246DF2D" w14:textId="4DC390A2" w:rsidR="00BC4354" w:rsidRPr="00905A3A" w:rsidRDefault="00BC4354" w:rsidP="00BC4354">
      <w:pPr>
        <w:rPr>
          <w:b/>
        </w:rPr>
      </w:pPr>
      <w:r w:rsidRPr="00905A3A">
        <w:rPr>
          <w:b/>
        </w:rPr>
        <w:t xml:space="preserve">(1) </w:t>
      </w:r>
      <w:r w:rsidR="00EB709C" w:rsidRPr="00905A3A">
        <w:rPr>
          <w:b/>
        </w:rPr>
        <w:t>Esortazioni per gli anziani e i meno anziani</w:t>
      </w:r>
      <w:r w:rsidRPr="00905A3A">
        <w:rPr>
          <w:b/>
        </w:rPr>
        <w:t xml:space="preserve"> (5:1–5)</w:t>
      </w:r>
    </w:p>
    <w:p w14:paraId="73EC70B3" w14:textId="3FE3C27C" w:rsidR="00BC4354" w:rsidRPr="00EB709C" w:rsidRDefault="00BC4354" w:rsidP="00BC4354">
      <w:pPr>
        <w:rPr>
          <w:b/>
        </w:rPr>
      </w:pPr>
      <w:r w:rsidRPr="00905A3A">
        <w:rPr>
          <w:b/>
        </w:rPr>
        <w:t xml:space="preserve">(2) </w:t>
      </w:r>
      <w:r w:rsidR="00EB709C" w:rsidRPr="00905A3A">
        <w:rPr>
          <w:b/>
        </w:rPr>
        <w:t xml:space="preserve">Esortazioni </w:t>
      </w:r>
      <w:r w:rsidR="00905A3A" w:rsidRPr="00905A3A">
        <w:rPr>
          <w:b/>
        </w:rPr>
        <w:t>finali</w:t>
      </w:r>
      <w:r w:rsidR="00EB709C" w:rsidRPr="00905A3A">
        <w:rPr>
          <w:b/>
        </w:rPr>
        <w:t xml:space="preserve"> e una consolazione certa</w:t>
      </w:r>
      <w:r w:rsidR="00EB709C" w:rsidRPr="00905A3A">
        <w:rPr>
          <w:rStyle w:val="Rimandonotaapidipagina"/>
          <w:b/>
        </w:rPr>
        <w:footnoteReference w:id="3"/>
      </w:r>
      <w:r w:rsidRPr="00905A3A">
        <w:rPr>
          <w:b/>
        </w:rPr>
        <w:t xml:space="preserve"> (5:6–11)</w:t>
      </w:r>
    </w:p>
    <w:p w14:paraId="13E479E1" w14:textId="77777777" w:rsidR="00BC4354" w:rsidRPr="00EB709C" w:rsidRDefault="00BC4354" w:rsidP="00C44E2A"/>
    <w:p w14:paraId="649CE800" w14:textId="39F105DB" w:rsidR="00905A3A" w:rsidRPr="00767476" w:rsidRDefault="00C44E2A">
      <w:pPr>
        <w:rPr>
          <w:lang w:val="en-US"/>
        </w:rPr>
      </w:pPr>
      <w:r w:rsidRPr="00767476">
        <w:rPr>
          <w:lang w:val="en-US"/>
        </w:rPr>
        <w:t>V. Concluding Words (5:12–14)</w:t>
      </w:r>
    </w:p>
    <w:p w14:paraId="727D30D2" w14:textId="47C6ECE9" w:rsidR="00905A3A" w:rsidRPr="00767476" w:rsidRDefault="00905A3A">
      <w:pPr>
        <w:rPr>
          <w:b/>
          <w:lang w:val="en-US"/>
        </w:rPr>
      </w:pPr>
      <w:r w:rsidRPr="00767476">
        <w:rPr>
          <w:b/>
          <w:lang w:val="en-US"/>
        </w:rPr>
        <w:t>V. Parole conclusive (5:12-14).</w:t>
      </w:r>
    </w:p>
    <w:p w14:paraId="057B5F15" w14:textId="77777777" w:rsidR="008417CB" w:rsidRPr="00767476" w:rsidRDefault="008417CB">
      <w:pPr>
        <w:rPr>
          <w:lang w:val="en-US"/>
        </w:rPr>
      </w:pPr>
    </w:p>
    <w:p w14:paraId="67447A61" w14:textId="7DEC6A96" w:rsidR="00767476" w:rsidRPr="00AA5464" w:rsidRDefault="00AA5464">
      <w:r w:rsidRPr="00AA5464">
        <w:lastRenderedPageBreak/>
        <w:t xml:space="preserve">Trovo molto interessante il riassunto fatto da </w:t>
      </w:r>
      <w:r w:rsidR="008417CB" w:rsidRPr="00AA5464">
        <w:t>Schreiner</w:t>
      </w:r>
      <w:r w:rsidRPr="00AA5464">
        <w:t xml:space="preserve"> (</w:t>
      </w:r>
      <w:r>
        <w:t>47;</w:t>
      </w:r>
      <w:r w:rsidR="008417CB" w:rsidRPr="00AA5464">
        <w:t xml:space="preserve"> </w:t>
      </w:r>
      <w:r w:rsidR="004F79C3" w:rsidRPr="00AA5464">
        <w:t>29</w:t>
      </w:r>
      <w:r w:rsidRPr="00AA5464">
        <w:t>e</w:t>
      </w:r>
      <w:r>
        <w:t xml:space="preserve">) dell’analisi di </w:t>
      </w:r>
      <w:r w:rsidR="00767476" w:rsidRPr="00AA5464">
        <w:t xml:space="preserve">D.W. Kendall, “The Literary and Theological Function of 1 Peter 1:3-12,” in </w:t>
      </w:r>
      <w:r w:rsidR="00767476" w:rsidRPr="00AA5464">
        <w:rPr>
          <w:i/>
        </w:rPr>
        <w:t>Perspectives on 1 Peter</w:t>
      </w:r>
      <w:r w:rsidR="00767476" w:rsidRPr="00AA5464">
        <w:t xml:space="preserve"> (Macon: Mercer University Press, 1986)</w:t>
      </w:r>
      <w:r w:rsidRPr="00AA5464">
        <w:t>; secondo la nota di Schreiner le pagine attinenti di Kendall sono</w:t>
      </w:r>
      <w:r w:rsidR="00767476" w:rsidRPr="00AA5464">
        <w:t xml:space="preserve"> 103-120.</w:t>
      </w:r>
    </w:p>
    <w:p w14:paraId="2D13E4BD" w14:textId="77777777" w:rsidR="00767476" w:rsidRPr="00AA5464" w:rsidRDefault="00767476"/>
    <w:p w14:paraId="101A31B0" w14:textId="4756478B" w:rsidR="004F79C3" w:rsidRDefault="00970435">
      <w:pPr>
        <w:rPr>
          <w:lang w:val="en-US"/>
        </w:rPr>
      </w:pPr>
      <w:r w:rsidRPr="00D121DF">
        <w:rPr>
          <w:lang w:val="en-US"/>
        </w:rPr>
        <w:t>“</w:t>
      </w:r>
      <w:r w:rsidR="00B91BDB" w:rsidRPr="00D121DF">
        <w:rPr>
          <w:lang w:val="en-US"/>
        </w:rPr>
        <w:t xml:space="preserve">Kendall maintains that all the imperatives in the letter (1:13–5:11) flow from the introduction in 1:3–12. He then divides the text into the following sections: (1) 1:13–2:10 explains generally what it means to be the people of God; and here we have three subdivisions, focusing on the need for holiness (1:14–21), love (1:22–2:3), and election in Christ (2:4–10). (2) He argues that the next major section (2:11–4:11) is more specific than the first section, in that the author now explains what holiness, love, and election look like in everyday life. (3) Finally, 4:12–5:11 functions as a </w:t>
      </w:r>
      <w:r w:rsidR="00AA5464">
        <w:rPr>
          <w:lang w:val="en-US"/>
        </w:rPr>
        <w:t>‘</w:t>
      </w:r>
      <w:r w:rsidR="00B91BDB" w:rsidRPr="00D121DF">
        <w:rPr>
          <w:lang w:val="en-US"/>
        </w:rPr>
        <w:t>climactic summary</w:t>
      </w:r>
      <w:r w:rsidR="00AA5464">
        <w:rPr>
          <w:lang w:val="en-US"/>
        </w:rPr>
        <w:t>’</w:t>
      </w:r>
      <w:r w:rsidR="00B91BDB" w:rsidRPr="00D121DF">
        <w:rPr>
          <w:lang w:val="en-US"/>
        </w:rPr>
        <w:t xml:space="preserve"> of the letter’s contents, in which the author addresses the relationship with hostile unbelievers (4:12–19), community relationships (5:1–7), and God’s purpose for believers in their conflict (5:8–11). He summarizes the message of 1 Peter as </w:t>
      </w:r>
      <w:r w:rsidR="00AA5464">
        <w:rPr>
          <w:lang w:val="en-US"/>
        </w:rPr>
        <w:t>‘</w:t>
      </w:r>
      <w:r w:rsidR="00B91BDB" w:rsidRPr="00D121DF">
        <w:rPr>
          <w:lang w:val="en-US"/>
        </w:rPr>
        <w:t>a movement from present suffering to future gl</w:t>
      </w:r>
      <w:r w:rsidRPr="00D121DF">
        <w:rPr>
          <w:lang w:val="en-US"/>
        </w:rPr>
        <w:t>ory and a fellowship of love</w:t>
      </w:r>
      <w:r w:rsidR="00AA5464">
        <w:rPr>
          <w:lang w:val="en-US"/>
        </w:rPr>
        <w:t>’.</w:t>
      </w:r>
      <w:r w:rsidRPr="00D121DF">
        <w:rPr>
          <w:lang w:val="en-US"/>
        </w:rPr>
        <w:t>”</w:t>
      </w:r>
    </w:p>
    <w:p w14:paraId="41D9E951" w14:textId="77777777" w:rsidR="00AA5464" w:rsidRDefault="00AA5464">
      <w:pPr>
        <w:rPr>
          <w:lang w:val="en-US"/>
        </w:rPr>
      </w:pPr>
    </w:p>
    <w:p w14:paraId="2C513138" w14:textId="74ABFA68" w:rsidR="00AA5464" w:rsidRPr="00540EEB" w:rsidRDefault="00AA5464" w:rsidP="00AA5464">
      <w:pPr>
        <w:rPr>
          <w:b/>
        </w:rPr>
      </w:pPr>
      <w:r w:rsidRPr="00540EEB">
        <w:rPr>
          <w:b/>
        </w:rPr>
        <w:t xml:space="preserve">“Kendall sostiene che tutti gli </w:t>
      </w:r>
      <w:r w:rsidR="00994C5C" w:rsidRPr="00540EEB">
        <w:rPr>
          <w:b/>
        </w:rPr>
        <w:t>imperativi</w:t>
      </w:r>
      <w:r w:rsidRPr="00540EEB">
        <w:rPr>
          <w:b/>
        </w:rPr>
        <w:t xml:space="preserve"> della lettera (1:13–5:11) derivano dall’introduzione trovata in 1:3–12. Poi divide il testo nelle seguenti sezioni: (1) 1:13–2:10 </w:t>
      </w:r>
      <w:r w:rsidR="008F2545" w:rsidRPr="00540EEB">
        <w:rPr>
          <w:b/>
        </w:rPr>
        <w:t>spiega in modo generale cosa significa essere il popolo di Dio; in questa sezion</w:t>
      </w:r>
      <w:r w:rsidR="00BE36AB">
        <w:rPr>
          <w:b/>
        </w:rPr>
        <w:t>e</w:t>
      </w:r>
      <w:r w:rsidR="008F2545" w:rsidRPr="00540EEB">
        <w:rPr>
          <w:b/>
        </w:rPr>
        <w:t xml:space="preserve"> ci sono tre sotto-sezioni. La prima </w:t>
      </w:r>
      <w:r w:rsidR="00BE36AB">
        <w:rPr>
          <w:b/>
        </w:rPr>
        <w:t>sottolinea</w:t>
      </w:r>
      <w:r w:rsidR="008F2545" w:rsidRPr="00540EEB">
        <w:rPr>
          <w:b/>
        </w:rPr>
        <w:t xml:space="preserve"> la necessità della santità (1:14–21), la seconda</w:t>
      </w:r>
      <w:r w:rsidRPr="00540EEB">
        <w:rPr>
          <w:b/>
        </w:rPr>
        <w:t xml:space="preserve"> </w:t>
      </w:r>
      <w:r w:rsidR="008F2545" w:rsidRPr="00540EEB">
        <w:rPr>
          <w:b/>
        </w:rPr>
        <w:t>l’amore</w:t>
      </w:r>
      <w:r w:rsidRPr="00540EEB">
        <w:rPr>
          <w:b/>
        </w:rPr>
        <w:t xml:space="preserve"> (1:22–2:3), </w:t>
      </w:r>
      <w:r w:rsidR="008F2545" w:rsidRPr="00540EEB">
        <w:rPr>
          <w:b/>
        </w:rPr>
        <w:t>e la terza l’elezione in Cristo</w:t>
      </w:r>
      <w:r w:rsidRPr="00540EEB">
        <w:rPr>
          <w:b/>
        </w:rPr>
        <w:t xml:space="preserve"> (2:4–10). (2) </w:t>
      </w:r>
      <w:r w:rsidR="008F2545" w:rsidRPr="00540EEB">
        <w:rPr>
          <w:b/>
        </w:rPr>
        <w:t xml:space="preserve">Kendall </w:t>
      </w:r>
      <w:r w:rsidR="007B656E" w:rsidRPr="00540EEB">
        <w:rPr>
          <w:b/>
        </w:rPr>
        <w:t>argomenta</w:t>
      </w:r>
      <w:r w:rsidR="008F2545" w:rsidRPr="00540EEB">
        <w:rPr>
          <w:b/>
        </w:rPr>
        <w:t xml:space="preserve"> che </w:t>
      </w:r>
      <w:r w:rsidR="007B656E" w:rsidRPr="00540EEB">
        <w:rPr>
          <w:b/>
        </w:rPr>
        <w:t xml:space="preserve">la </w:t>
      </w:r>
      <w:r w:rsidR="007714C5" w:rsidRPr="00540EEB">
        <w:rPr>
          <w:b/>
        </w:rPr>
        <w:t xml:space="preserve">sezione </w:t>
      </w:r>
      <w:r w:rsidR="007B656E" w:rsidRPr="00540EEB">
        <w:rPr>
          <w:b/>
        </w:rPr>
        <w:t>successiva</w:t>
      </w:r>
      <w:r w:rsidR="008F2545" w:rsidRPr="00540EEB">
        <w:rPr>
          <w:b/>
        </w:rPr>
        <w:t xml:space="preserve"> principale</w:t>
      </w:r>
      <w:r w:rsidRPr="00540EEB">
        <w:rPr>
          <w:b/>
        </w:rPr>
        <w:t xml:space="preserve"> (2:11–4:11)</w:t>
      </w:r>
      <w:r w:rsidR="008F2545" w:rsidRPr="00540EEB">
        <w:rPr>
          <w:b/>
        </w:rPr>
        <w:t xml:space="preserve"> è più specifica rispetto alla prima sezione, in quanto adess</w:t>
      </w:r>
      <w:r w:rsidR="007B656E" w:rsidRPr="00540EEB">
        <w:rPr>
          <w:b/>
        </w:rPr>
        <w:t>o</w:t>
      </w:r>
      <w:r w:rsidR="008F2545" w:rsidRPr="00540EEB">
        <w:rPr>
          <w:b/>
        </w:rPr>
        <w:t xml:space="preserve"> l’autore spiega come siano nella vita di tutti i giorni la </w:t>
      </w:r>
      <w:r w:rsidR="007B656E" w:rsidRPr="00540EEB">
        <w:rPr>
          <w:b/>
        </w:rPr>
        <w:t>santità</w:t>
      </w:r>
      <w:r w:rsidR="008F2545" w:rsidRPr="00540EEB">
        <w:rPr>
          <w:b/>
        </w:rPr>
        <w:t>, l’amore e l’elezione</w:t>
      </w:r>
      <w:r w:rsidRPr="00540EEB">
        <w:rPr>
          <w:b/>
        </w:rPr>
        <w:t xml:space="preserve">. (3) </w:t>
      </w:r>
      <w:r w:rsidR="007C2DE9" w:rsidRPr="00540EEB">
        <w:rPr>
          <w:b/>
        </w:rPr>
        <w:t>Infine</w:t>
      </w:r>
      <w:r w:rsidRPr="00540EEB">
        <w:rPr>
          <w:b/>
        </w:rPr>
        <w:t xml:space="preserve">, 4:12–5:11 </w:t>
      </w:r>
      <w:r w:rsidR="007B656E" w:rsidRPr="00540EEB">
        <w:rPr>
          <w:b/>
        </w:rPr>
        <w:t>costituisce un riassunto culminante (</w:t>
      </w:r>
      <w:r w:rsidRPr="00540EEB">
        <w:rPr>
          <w:b/>
        </w:rPr>
        <w:t>‘climactic summary’</w:t>
      </w:r>
      <w:r w:rsidR="007B656E" w:rsidRPr="00540EEB">
        <w:rPr>
          <w:b/>
        </w:rPr>
        <w:t>) dei contenuti della lettera in cui l’autore tratta i seguenti temi: le relazioni con non credenti ostili</w:t>
      </w:r>
      <w:r w:rsidRPr="00540EEB">
        <w:rPr>
          <w:b/>
        </w:rPr>
        <w:t xml:space="preserve"> (4:12–19),</w:t>
      </w:r>
      <w:r w:rsidR="007B656E" w:rsidRPr="00540EEB">
        <w:rPr>
          <w:b/>
        </w:rPr>
        <w:t xml:space="preserve"> le relazioni nella Chiesa </w:t>
      </w:r>
      <w:r w:rsidRPr="00540EEB">
        <w:rPr>
          <w:b/>
        </w:rPr>
        <w:t xml:space="preserve">(5:1–7), </w:t>
      </w:r>
      <w:r w:rsidR="007B656E" w:rsidRPr="00540EEB">
        <w:rPr>
          <w:b/>
        </w:rPr>
        <w:t>e il proponimento di Dio per i credenti nella loro lotta</w:t>
      </w:r>
      <w:r w:rsidRPr="00540EEB">
        <w:rPr>
          <w:b/>
        </w:rPr>
        <w:t xml:space="preserve"> (5:8–11). </w:t>
      </w:r>
      <w:r w:rsidR="007B656E" w:rsidRPr="00540EEB">
        <w:rPr>
          <w:b/>
        </w:rPr>
        <w:t>Kendal</w:t>
      </w:r>
      <w:r w:rsidR="00ED4506">
        <w:rPr>
          <w:b/>
        </w:rPr>
        <w:t>l</w:t>
      </w:r>
      <w:r w:rsidR="007B656E" w:rsidRPr="00540EEB">
        <w:rPr>
          <w:b/>
        </w:rPr>
        <w:t xml:space="preserve"> riassume il messaggio di 1 Pietro come segue: ‘un movimento dalle sofferenze presenti alla gloria futura e una comunione d’amore’.”</w:t>
      </w:r>
    </w:p>
    <w:p w14:paraId="27E58CA4" w14:textId="77777777" w:rsidR="00AA5464" w:rsidRDefault="00AA5464"/>
    <w:p w14:paraId="04923ACF" w14:textId="21B94B8C" w:rsidR="00835D4C" w:rsidRPr="007B656E" w:rsidRDefault="00835D4C">
      <w:r>
        <w:t>Cfr. anche Wayne</w:t>
      </w:r>
      <w:r w:rsidR="00584C74">
        <w:t xml:space="preserve"> A.</w:t>
      </w:r>
      <w:r>
        <w:t xml:space="preserve"> Grudem, </w:t>
      </w:r>
      <w:r w:rsidRPr="00584C74">
        <w:rPr>
          <w:i/>
        </w:rPr>
        <w:t>La Prima Epistola di Pietro. Introduzione e commentario</w:t>
      </w:r>
      <w:r>
        <w:t>, Ed. GBU, Roma</w:t>
      </w:r>
      <w:r w:rsidR="00584C74">
        <w:t xml:space="preserve"> 1995, p. 145: “</w:t>
      </w:r>
      <w:r w:rsidR="007714C5">
        <w:t xml:space="preserve">Pietro inizia ora [in 2:11] ciò che dal punto di vista strutturale costituisce la seconda metà dell’epistola. Mentre la prima parte è essenzialmente concentrata sulla teologia con sporadiche applicazioni alla vita pratica, la seconda ha in genere un </w:t>
      </w:r>
      <w:r w:rsidR="002A2B07">
        <w:t>carattere</w:t>
      </w:r>
      <w:r w:rsidR="007714C5">
        <w:t xml:space="preserve"> pratico con brevi affermazioni </w:t>
      </w:r>
      <w:r w:rsidR="002A2B07">
        <w:t>teologiche</w:t>
      </w:r>
      <w:r w:rsidR="007714C5">
        <w:t xml:space="preserve"> </w:t>
      </w:r>
      <w:r w:rsidR="002A2B07">
        <w:t>racchiuse</w:t>
      </w:r>
      <w:r w:rsidR="007714C5">
        <w:t xml:space="preserve"> in molti punti chiave. Mentre la prima parte contiene esortazioni generali alla santità (1:15), all’amore (1:22) e alla fiducia in Dio (collegata alla speranza in 1:13, e sottintesa in 1:5, 7, 9, 21; 2:7), la seconda dà minuziosi </w:t>
      </w:r>
      <w:r w:rsidR="00433484">
        <w:t>insegnamenti</w:t>
      </w:r>
      <w:r w:rsidR="007714C5">
        <w:t xml:space="preserve"> su come i credenti debbano praticare la santità e la fiducia in Dio in situazioni della vita reale. Anche se può sembrare una semplificazione eccessiva, si può dire che 2:11 – 5:11 </w:t>
      </w:r>
      <w:r w:rsidR="00433484">
        <w:t>fornisce</w:t>
      </w:r>
      <w:r w:rsidR="007714C5">
        <w:t xml:space="preserve"> un’</w:t>
      </w:r>
      <w:r w:rsidR="00433484">
        <w:t>applicazione</w:t>
      </w:r>
      <w:r w:rsidR="007714C5">
        <w:t xml:space="preserve"> specifica dell’</w:t>
      </w:r>
      <w:r w:rsidR="00433484">
        <w:t>insegnamento</w:t>
      </w:r>
      <w:r w:rsidR="007714C5">
        <w:t xml:space="preserve"> generale di 1:1 – 2:10.”</w:t>
      </w:r>
    </w:p>
    <w:sectPr w:rsidR="00835D4C" w:rsidRPr="007B656E">
      <w:headerReference w:type="even" r:id="rId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3FF3" w14:textId="77777777" w:rsidR="0020201A" w:rsidRDefault="0020201A" w:rsidP="000E441F">
      <w:r>
        <w:separator/>
      </w:r>
    </w:p>
  </w:endnote>
  <w:endnote w:type="continuationSeparator" w:id="0">
    <w:p w14:paraId="678FF0B4" w14:textId="77777777" w:rsidR="0020201A" w:rsidRDefault="0020201A" w:rsidP="000E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7BE1" w14:textId="1F72C5A6" w:rsidR="003D0680" w:rsidRDefault="003D0680" w:rsidP="003D0680">
    <w:pPr>
      <w:pStyle w:val="Pidipagina"/>
      <w:tabs>
        <w:tab w:val="clear" w:pos="4819"/>
        <w:tab w:val="center" w:pos="5103"/>
      </w:tabs>
    </w:pPr>
    <w:hyperlink r:id="rId1" w:history="1">
      <w:r w:rsidRPr="00F71EE3">
        <w:rPr>
          <w:rStyle w:val="Collegamentoipertestuale"/>
        </w:rPr>
        <w:t>www.pietrocia</w:t>
      </w:r>
      <w:r w:rsidRPr="00F71EE3">
        <w:rPr>
          <w:rStyle w:val="Collegamentoipertestuale"/>
        </w:rPr>
        <w:t>v</w:t>
      </w:r>
      <w:r w:rsidRPr="00F71EE3">
        <w:rPr>
          <w:rStyle w:val="Collegamentoipertestuale"/>
        </w:rPr>
        <w:t>arella.altervista.org</w:t>
      </w:r>
    </w:hyperlink>
    <w:r>
      <w:tab/>
    </w:r>
    <w:hyperlink r:id="rId2" w:history="1">
      <w:r w:rsidRPr="00F71EE3">
        <w:rPr>
          <w:rStyle w:val="Collegamentoipertestuale"/>
        </w:rPr>
        <w:t>www.solascrittura.it</w:t>
      </w:r>
    </w:hyperlink>
    <w:r>
      <w:tab/>
    </w:r>
    <w:hyperlink r:id="rId3" w:history="1">
      <w:r w:rsidRPr="00F71EE3">
        <w:rPr>
          <w:rStyle w:val="Collegamentoipertestuale"/>
        </w:rPr>
        <w:t>www.chiesalogos.com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AB68" w14:textId="77777777" w:rsidR="0020201A" w:rsidRDefault="0020201A" w:rsidP="000E441F">
      <w:r>
        <w:separator/>
      </w:r>
    </w:p>
  </w:footnote>
  <w:footnote w:type="continuationSeparator" w:id="0">
    <w:p w14:paraId="3087395E" w14:textId="77777777" w:rsidR="0020201A" w:rsidRDefault="0020201A" w:rsidP="000E441F">
      <w:r>
        <w:continuationSeparator/>
      </w:r>
    </w:p>
  </w:footnote>
  <w:footnote w:id="1">
    <w:p w14:paraId="1225AD05" w14:textId="49E3951C" w:rsidR="00514134" w:rsidRPr="007B07A9" w:rsidRDefault="00514134" w:rsidP="007B07A9">
      <w:pPr>
        <w:pStyle w:val="Testonotaapidipagina"/>
        <w:rPr>
          <w:lang w:val="en-US"/>
        </w:rPr>
      </w:pPr>
      <w:r>
        <w:rPr>
          <w:rStyle w:val="Rimandonotaapidipagina"/>
        </w:rPr>
        <w:footnoteRef/>
      </w:r>
      <w:r w:rsidRPr="00514134">
        <w:rPr>
          <w:lang w:val="en-US"/>
        </w:rPr>
        <w:t xml:space="preserve"> Schreiner “knowledgeably”, cfr.</w:t>
      </w:r>
      <w:r w:rsidR="007B07A9">
        <w:rPr>
          <w:lang w:val="en-US"/>
        </w:rPr>
        <w:t xml:space="preserve"> The King James translation: “</w:t>
      </w:r>
      <w:r w:rsidR="007B07A9" w:rsidRPr="007B07A9">
        <w:rPr>
          <w:lang w:val="en-US"/>
        </w:rPr>
        <w:t>Likewise, ye husbands, dwell with </w:t>
      </w:r>
      <w:r w:rsidR="007B07A9" w:rsidRPr="007B07A9">
        <w:rPr>
          <w:i/>
          <w:iCs/>
          <w:lang w:val="en-US"/>
        </w:rPr>
        <w:t>them</w:t>
      </w:r>
      <w:r w:rsidR="007B07A9" w:rsidRPr="007B07A9">
        <w:rPr>
          <w:lang w:val="en-US"/>
        </w:rPr>
        <w:t> according to knowledge</w:t>
      </w:r>
      <w:r w:rsidR="007B07A9">
        <w:rPr>
          <w:lang w:val="en-US"/>
        </w:rPr>
        <w:t>.”</w:t>
      </w:r>
    </w:p>
  </w:footnote>
  <w:footnote w:id="2">
    <w:p w14:paraId="2E24F136" w14:textId="530CFB67" w:rsidR="007B07A9" w:rsidRDefault="007B07A9">
      <w:pPr>
        <w:pStyle w:val="Testonotaapidipagina"/>
      </w:pPr>
      <w:r>
        <w:rPr>
          <w:rStyle w:val="Rimandonotaapidipagina"/>
        </w:rPr>
        <w:footnoteRef/>
      </w:r>
      <w:r>
        <w:t xml:space="preserve"> Schreiner “godly”, ovvero “in modo pio”.</w:t>
      </w:r>
    </w:p>
  </w:footnote>
  <w:footnote w:id="3">
    <w:p w14:paraId="06E3F4DF" w14:textId="0B3BBD81" w:rsidR="00EB709C" w:rsidRPr="00EB709C" w:rsidRDefault="00EB709C">
      <w:pPr>
        <w:pStyle w:val="Testonotaapidipagina"/>
        <w:rPr>
          <w:lang w:val="en-US"/>
        </w:rPr>
      </w:pPr>
      <w:r>
        <w:rPr>
          <w:rStyle w:val="Rimandonotaapidipagina"/>
        </w:rPr>
        <w:footnoteRef/>
      </w:r>
      <w:r w:rsidRPr="00EB709C">
        <w:rPr>
          <w:lang w:val="en-US"/>
        </w:rPr>
        <w:t xml:space="preserve"> Schreiner “</w:t>
      </w:r>
      <w:r>
        <w:rPr>
          <w:lang w:val="en-US"/>
        </w:rPr>
        <w:t>c</w:t>
      </w:r>
      <w:r w:rsidRPr="00EB709C">
        <w:rPr>
          <w:lang w:val="en-US"/>
        </w:rPr>
        <w:t xml:space="preserve">losing </w:t>
      </w:r>
      <w:r>
        <w:rPr>
          <w:lang w:val="en-US"/>
        </w:rPr>
        <w:t>e</w:t>
      </w:r>
      <w:r w:rsidRPr="00EB709C">
        <w:rPr>
          <w:lang w:val="en-US"/>
        </w:rPr>
        <w:t xml:space="preserve">xhortations and </w:t>
      </w:r>
      <w:r>
        <w:rPr>
          <w:lang w:val="en-US"/>
        </w:rPr>
        <w:t>a</w:t>
      </w:r>
      <w:r w:rsidRPr="00EB709C">
        <w:rPr>
          <w:lang w:val="en-US"/>
        </w:rPr>
        <w:t>ssurance.”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6F18" w14:textId="77777777" w:rsidR="000E441F" w:rsidRDefault="000E441F" w:rsidP="007058F6">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C907FE" w14:textId="77777777" w:rsidR="000E441F" w:rsidRDefault="000E441F" w:rsidP="000E441F">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D539" w14:textId="77777777" w:rsidR="000E441F" w:rsidRDefault="000E441F" w:rsidP="007058F6">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0680">
      <w:rPr>
        <w:rStyle w:val="Numeropagina"/>
        <w:noProof/>
      </w:rPr>
      <w:t>3</w:t>
    </w:r>
    <w:r>
      <w:rPr>
        <w:rStyle w:val="Numeropagina"/>
      </w:rPr>
      <w:fldChar w:fldCharType="end"/>
    </w:r>
  </w:p>
  <w:p w14:paraId="5505A2EE" w14:textId="030B8B35" w:rsidR="000E441F" w:rsidRDefault="000E441F" w:rsidP="000E441F">
    <w:pPr>
      <w:pStyle w:val="Intestazione"/>
      <w:ind w:right="360"/>
    </w:pPr>
    <w:r>
      <w:t>Pietro Ciavarella</w:t>
    </w:r>
    <w:r>
      <w:tab/>
    </w:r>
    <w:r w:rsidR="00565E6C">
      <w:t>La scaletta</w:t>
    </w:r>
    <w:r w:rsidR="003D0680">
      <w:t>/outline di 1 Pietro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7B"/>
    <w:rsid w:val="000B63F0"/>
    <w:rsid w:val="000E441F"/>
    <w:rsid w:val="00133D82"/>
    <w:rsid w:val="00183796"/>
    <w:rsid w:val="0020201A"/>
    <w:rsid w:val="002034A5"/>
    <w:rsid w:val="00263031"/>
    <w:rsid w:val="002A2B07"/>
    <w:rsid w:val="003D0680"/>
    <w:rsid w:val="00433484"/>
    <w:rsid w:val="00493FC2"/>
    <w:rsid w:val="004F79C3"/>
    <w:rsid w:val="00514134"/>
    <w:rsid w:val="00540EEB"/>
    <w:rsid w:val="00565E6C"/>
    <w:rsid w:val="00584C74"/>
    <w:rsid w:val="006E0464"/>
    <w:rsid w:val="00713F86"/>
    <w:rsid w:val="00767476"/>
    <w:rsid w:val="007714C5"/>
    <w:rsid w:val="007B07A9"/>
    <w:rsid w:val="007B656E"/>
    <w:rsid w:val="007C077B"/>
    <w:rsid w:val="007C2DE9"/>
    <w:rsid w:val="00835D4C"/>
    <w:rsid w:val="008417CB"/>
    <w:rsid w:val="008E79C2"/>
    <w:rsid w:val="008F2545"/>
    <w:rsid w:val="00905A3A"/>
    <w:rsid w:val="00962EEF"/>
    <w:rsid w:val="00970435"/>
    <w:rsid w:val="00994C5C"/>
    <w:rsid w:val="00A72E0E"/>
    <w:rsid w:val="00AA5464"/>
    <w:rsid w:val="00B325E7"/>
    <w:rsid w:val="00B46104"/>
    <w:rsid w:val="00B91BDB"/>
    <w:rsid w:val="00BC4354"/>
    <w:rsid w:val="00BE36AB"/>
    <w:rsid w:val="00C44E2A"/>
    <w:rsid w:val="00C7380A"/>
    <w:rsid w:val="00D121DF"/>
    <w:rsid w:val="00D37C27"/>
    <w:rsid w:val="00DA05B2"/>
    <w:rsid w:val="00DA201B"/>
    <w:rsid w:val="00DD5895"/>
    <w:rsid w:val="00DF57D8"/>
    <w:rsid w:val="00E90A4B"/>
    <w:rsid w:val="00EB709C"/>
    <w:rsid w:val="00ED4506"/>
    <w:rsid w:val="00FA6892"/>
    <w:rsid w:val="00FC7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26134D"/>
  <w15:chartTrackingRefBased/>
  <w15:docId w15:val="{D05F8C1D-FBED-4749-9AE5-93BFED6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441F"/>
    <w:pPr>
      <w:tabs>
        <w:tab w:val="center" w:pos="4819"/>
        <w:tab w:val="right" w:pos="9638"/>
      </w:tabs>
    </w:pPr>
  </w:style>
  <w:style w:type="character" w:customStyle="1" w:styleId="IntestazioneCarattere">
    <w:name w:val="Intestazione Carattere"/>
    <w:basedOn w:val="Carpredefinitoparagrafo"/>
    <w:link w:val="Intestazione"/>
    <w:uiPriority w:val="99"/>
    <w:rsid w:val="000E441F"/>
  </w:style>
  <w:style w:type="paragraph" w:styleId="Pidipagina">
    <w:name w:val="footer"/>
    <w:basedOn w:val="Normale"/>
    <w:link w:val="PidipaginaCarattere"/>
    <w:uiPriority w:val="99"/>
    <w:unhideWhenUsed/>
    <w:rsid w:val="000E441F"/>
    <w:pPr>
      <w:tabs>
        <w:tab w:val="center" w:pos="4819"/>
        <w:tab w:val="right" w:pos="9638"/>
      </w:tabs>
    </w:pPr>
  </w:style>
  <w:style w:type="character" w:customStyle="1" w:styleId="PidipaginaCarattere">
    <w:name w:val="Piè di pagina Carattere"/>
    <w:basedOn w:val="Carpredefinitoparagrafo"/>
    <w:link w:val="Pidipagina"/>
    <w:uiPriority w:val="99"/>
    <w:rsid w:val="000E441F"/>
  </w:style>
  <w:style w:type="character" w:styleId="Numeropagina">
    <w:name w:val="page number"/>
    <w:basedOn w:val="Carpredefinitoparagrafo"/>
    <w:uiPriority w:val="99"/>
    <w:semiHidden/>
    <w:unhideWhenUsed/>
    <w:rsid w:val="000E441F"/>
  </w:style>
  <w:style w:type="table" w:styleId="Grigliatabella">
    <w:name w:val="Table Grid"/>
    <w:basedOn w:val="Tabellanormale"/>
    <w:uiPriority w:val="39"/>
    <w:rsid w:val="00DF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514134"/>
    <w:rPr>
      <w:sz w:val="24"/>
      <w:szCs w:val="24"/>
    </w:rPr>
  </w:style>
  <w:style w:type="character" w:customStyle="1" w:styleId="TestonotaapidipaginaCarattere">
    <w:name w:val="Testo nota a piè di pagina Carattere"/>
    <w:basedOn w:val="Carpredefinitoparagrafo"/>
    <w:link w:val="Testonotaapidipagina"/>
    <w:uiPriority w:val="99"/>
    <w:rsid w:val="00514134"/>
    <w:rPr>
      <w:sz w:val="24"/>
      <w:szCs w:val="24"/>
    </w:rPr>
  </w:style>
  <w:style w:type="character" w:styleId="Rimandonotaapidipagina">
    <w:name w:val="footnote reference"/>
    <w:basedOn w:val="Carpredefinitoparagrafo"/>
    <w:uiPriority w:val="99"/>
    <w:unhideWhenUsed/>
    <w:rsid w:val="00514134"/>
    <w:rPr>
      <w:vertAlign w:val="superscript"/>
    </w:rPr>
  </w:style>
  <w:style w:type="character" w:styleId="Collegamentoipertestuale">
    <w:name w:val="Hyperlink"/>
    <w:basedOn w:val="Carpredefinitoparagrafo"/>
    <w:uiPriority w:val="99"/>
    <w:unhideWhenUsed/>
    <w:rsid w:val="003D0680"/>
    <w:rPr>
      <w:color w:val="0563C1" w:themeColor="hyperlink"/>
      <w:u w:val="single"/>
    </w:rPr>
  </w:style>
  <w:style w:type="character" w:styleId="Collegamentovisitato">
    <w:name w:val="FollowedHyperlink"/>
    <w:basedOn w:val="Carpredefinitoparagrafo"/>
    <w:uiPriority w:val="99"/>
    <w:semiHidden/>
    <w:unhideWhenUsed/>
    <w:rsid w:val="003D0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639">
      <w:bodyDiv w:val="1"/>
      <w:marLeft w:val="0"/>
      <w:marRight w:val="0"/>
      <w:marTop w:val="0"/>
      <w:marBottom w:val="0"/>
      <w:divBdr>
        <w:top w:val="none" w:sz="0" w:space="0" w:color="auto"/>
        <w:left w:val="none" w:sz="0" w:space="0" w:color="auto"/>
        <w:bottom w:val="none" w:sz="0" w:space="0" w:color="auto"/>
        <w:right w:val="none" w:sz="0" w:space="0" w:color="auto"/>
      </w:divBdr>
    </w:div>
    <w:div w:id="312221708">
      <w:bodyDiv w:val="1"/>
      <w:marLeft w:val="0"/>
      <w:marRight w:val="0"/>
      <w:marTop w:val="0"/>
      <w:marBottom w:val="0"/>
      <w:divBdr>
        <w:top w:val="none" w:sz="0" w:space="0" w:color="auto"/>
        <w:left w:val="none" w:sz="0" w:space="0" w:color="auto"/>
        <w:bottom w:val="none" w:sz="0" w:space="0" w:color="auto"/>
        <w:right w:val="none" w:sz="0" w:space="0" w:color="auto"/>
      </w:divBdr>
    </w:div>
    <w:div w:id="1084297387">
      <w:bodyDiv w:val="1"/>
      <w:marLeft w:val="0"/>
      <w:marRight w:val="0"/>
      <w:marTop w:val="0"/>
      <w:marBottom w:val="0"/>
      <w:divBdr>
        <w:top w:val="none" w:sz="0" w:space="0" w:color="auto"/>
        <w:left w:val="none" w:sz="0" w:space="0" w:color="auto"/>
        <w:bottom w:val="none" w:sz="0" w:space="0" w:color="auto"/>
        <w:right w:val="none" w:sz="0" w:space="0" w:color="auto"/>
      </w:divBdr>
    </w:div>
    <w:div w:id="13527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ietrociavarella.altervista.org" TargetMode="External"/><Relationship Id="rId2" Type="http://schemas.openxmlformats.org/officeDocument/2006/relationships/hyperlink" Target="http://www.solascrittura.it" TargetMode="External"/><Relationship Id="rId3" Type="http://schemas.openxmlformats.org/officeDocument/2006/relationships/hyperlink" Target="http://www.chiesalogo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1205</Words>
  <Characters>6873</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Ciavarella</dc:creator>
  <cp:keywords/>
  <dc:description/>
  <cp:lastModifiedBy>Pietro Ciavarella</cp:lastModifiedBy>
  <cp:revision>31</cp:revision>
  <dcterms:created xsi:type="dcterms:W3CDTF">2017-10-11T08:24:00Z</dcterms:created>
  <dcterms:modified xsi:type="dcterms:W3CDTF">2017-10-22T17:31:00Z</dcterms:modified>
</cp:coreProperties>
</file>